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D41" w:rsidRPr="00C27BD1" w:rsidRDefault="00300E83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C27BD1">
        <w:rPr>
          <w:rFonts w:ascii="Corbel" w:hAnsi="Corbel"/>
          <w:b/>
          <w:bCs/>
        </w:rPr>
        <w:t xml:space="preserve">   </w:t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 w:cs="Corbel"/>
          <w:bCs/>
          <w:i/>
        </w:rPr>
        <w:t>Załącznik nr 1.5 do Zarządzenia Rektora UR  nr 12/2019</w:t>
      </w:r>
    </w:p>
    <w:p w:rsidR="00352D41" w:rsidRPr="00C27BD1" w:rsidRDefault="00300E83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C27BD1">
        <w:rPr>
          <w:rFonts w:ascii="Corbel" w:hAnsi="Corbel" w:cs="Corbel"/>
          <w:b/>
          <w:smallCaps/>
        </w:rPr>
        <w:t>SYLABUS</w:t>
      </w:r>
    </w:p>
    <w:p w:rsidR="00352D41" w:rsidRPr="00C27BD1" w:rsidRDefault="00300E83">
      <w:pPr>
        <w:spacing w:after="0" w:line="240" w:lineRule="exact"/>
        <w:jc w:val="center"/>
        <w:rPr>
          <w:rFonts w:ascii="Corbel" w:hAnsi="Corbel" w:cs="Corbel"/>
          <w:b/>
          <w:i/>
          <w:smallCaps/>
        </w:rPr>
      </w:pPr>
      <w:r w:rsidRPr="00C27BD1">
        <w:rPr>
          <w:rFonts w:ascii="Corbel" w:hAnsi="Corbel" w:cs="Corbel"/>
          <w:b/>
          <w:smallCaps/>
        </w:rPr>
        <w:t xml:space="preserve">dotyczy cyklu kształcenia </w:t>
      </w:r>
      <w:r w:rsidRPr="00C27BD1">
        <w:rPr>
          <w:rFonts w:ascii="Corbel" w:hAnsi="Corbel" w:cs="Corbel"/>
          <w:b/>
          <w:i/>
          <w:smallCaps/>
        </w:rPr>
        <w:t xml:space="preserve">od </w:t>
      </w:r>
      <w:r w:rsidR="001D6A44">
        <w:rPr>
          <w:rFonts w:ascii="Corbel" w:hAnsi="Corbel"/>
          <w:b/>
          <w:smallCaps/>
          <w:sz w:val="24"/>
          <w:szCs w:val="24"/>
        </w:rPr>
        <w:t>2019/2020 - 2021/2022</w:t>
      </w:r>
    </w:p>
    <w:p w:rsidR="00C27BD1" w:rsidRPr="00C27BD1" w:rsidRDefault="00C27BD1" w:rsidP="00C27BD1">
      <w:pPr>
        <w:ind w:left="5664"/>
        <w:rPr>
          <w:rFonts w:ascii="Corbel" w:hAnsi="Corbel"/>
          <w:sz w:val="20"/>
        </w:rPr>
      </w:pPr>
      <w:r w:rsidRPr="00C27BD1">
        <w:rPr>
          <w:rFonts w:ascii="Corbel" w:hAnsi="Corbel"/>
          <w:sz w:val="20"/>
        </w:rPr>
        <w:t>(skrajne daty)</w:t>
      </w:r>
    </w:p>
    <w:p w:rsidR="00352D41" w:rsidRPr="00C27BD1" w:rsidRDefault="00300E83">
      <w:pPr>
        <w:spacing w:after="0" w:line="240" w:lineRule="exact"/>
        <w:jc w:val="center"/>
        <w:rPr>
          <w:rFonts w:ascii="Corbel" w:hAnsi="Corbel" w:cs="Corbel"/>
        </w:rPr>
      </w:pPr>
      <w:r w:rsidRPr="00C27BD1">
        <w:rPr>
          <w:rFonts w:ascii="Corbel" w:hAnsi="Corbel" w:cs="Corbel"/>
          <w:b/>
          <w:i/>
          <w:smallCaps/>
        </w:rPr>
        <w:t xml:space="preserve">Rok akademicki </w:t>
      </w:r>
      <w:r w:rsidR="001D6A44">
        <w:rPr>
          <w:rFonts w:ascii="Corbel" w:hAnsi="Corbel"/>
          <w:color w:val="000000"/>
        </w:rPr>
        <w:t>2021/2022</w:t>
      </w:r>
      <w:bookmarkStart w:id="1" w:name="_GoBack"/>
      <w:bookmarkEnd w:id="1"/>
    </w:p>
    <w:p w:rsidR="00352D41" w:rsidRPr="00C27BD1" w:rsidRDefault="00352D41">
      <w:pPr>
        <w:spacing w:after="0" w:line="100" w:lineRule="atLeast"/>
        <w:rPr>
          <w:rFonts w:ascii="Corbel" w:hAnsi="Corbel" w:cs="Corbel"/>
        </w:rPr>
      </w:pPr>
    </w:p>
    <w:p w:rsidR="00352D41" w:rsidRPr="00C27BD1" w:rsidRDefault="00300E83">
      <w:pPr>
        <w:pStyle w:val="Punktygwne"/>
        <w:spacing w:before="0" w:after="0"/>
        <w:rPr>
          <w:rFonts w:ascii="Corbel" w:hAnsi="Corbel" w:cs="Corbel"/>
          <w:sz w:val="22"/>
        </w:rPr>
      </w:pPr>
      <w:r w:rsidRPr="00C27BD1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2693"/>
        <w:gridCol w:w="7107"/>
      </w:tblGrid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bCs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Cs/>
                <w:sz w:val="22"/>
              </w:rPr>
              <w:t>Dostęp do informacji niejawnej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PRA42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C27BD1">
            <w:pPr>
              <w:pStyle w:val="Odpowiedzi"/>
              <w:spacing w:before="100" w:after="100"/>
              <w:rPr>
                <w:rFonts w:ascii="Corbel" w:hAnsi="Corbel"/>
                <w:b w:val="0"/>
                <w:sz w:val="22"/>
              </w:rPr>
            </w:pPr>
            <w:r w:rsidRPr="00C27BD1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C27BD1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Administracja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Praktyczny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Stacjonarne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 xml:space="preserve">Rok </w:t>
            </w:r>
            <w:r w:rsidRPr="00C27BD1">
              <w:rPr>
                <w:rFonts w:ascii="Corbel" w:hAnsi="Corbel" w:cs="Corbel"/>
                <w:b w:val="0"/>
                <w:sz w:val="22"/>
              </w:rPr>
              <w:t>III</w:t>
            </w: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, semestr VI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spacing w:before="100" w:after="100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dr hab. prof. UR Artur Łuszczyński</w:t>
            </w:r>
          </w:p>
        </w:tc>
      </w:tr>
      <w:tr w:rsidR="00352D41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 xml:space="preserve">dr Robert Zapart, dr Marcin Niemczyk, dr Marcin </w:t>
            </w:r>
            <w:proofErr w:type="spellStart"/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Merkwa</w:t>
            </w:r>
            <w:proofErr w:type="spellEnd"/>
          </w:p>
        </w:tc>
      </w:tr>
    </w:tbl>
    <w:p w:rsidR="00352D41" w:rsidRPr="00C27BD1" w:rsidRDefault="00300E83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C27BD1">
        <w:rPr>
          <w:rFonts w:ascii="Corbel" w:hAnsi="Corbel" w:cs="Corbel"/>
          <w:szCs w:val="22"/>
        </w:rPr>
        <w:t xml:space="preserve">* </w:t>
      </w:r>
      <w:r w:rsidRPr="00C27BD1">
        <w:rPr>
          <w:rFonts w:ascii="Corbel" w:hAnsi="Corbel" w:cs="Corbel"/>
          <w:i/>
          <w:szCs w:val="22"/>
        </w:rPr>
        <w:t>-</w:t>
      </w:r>
      <w:r w:rsidRPr="00C27BD1">
        <w:rPr>
          <w:rFonts w:ascii="Corbel" w:hAnsi="Corbel" w:cs="Corbel"/>
          <w:b w:val="0"/>
          <w:i/>
          <w:szCs w:val="22"/>
        </w:rPr>
        <w:t>opcjonalni</w:t>
      </w:r>
      <w:r w:rsidRPr="00C27BD1">
        <w:rPr>
          <w:rFonts w:ascii="Corbel" w:hAnsi="Corbel" w:cs="Corbel"/>
          <w:b w:val="0"/>
          <w:szCs w:val="22"/>
        </w:rPr>
        <w:t>e,</w:t>
      </w:r>
      <w:r w:rsidRPr="00C27BD1">
        <w:rPr>
          <w:rFonts w:ascii="Corbel" w:hAnsi="Corbel" w:cs="Corbel"/>
          <w:i/>
          <w:szCs w:val="22"/>
        </w:rPr>
        <w:t xml:space="preserve"> </w:t>
      </w:r>
      <w:r w:rsidRPr="00C27BD1">
        <w:rPr>
          <w:rFonts w:ascii="Corbel" w:hAnsi="Corbel" w:cs="Corbel"/>
          <w:b w:val="0"/>
          <w:i/>
          <w:szCs w:val="22"/>
        </w:rPr>
        <w:t>zgodnie z ustaleniami w Jednostce</w:t>
      </w:r>
    </w:p>
    <w:p w:rsidR="00352D41" w:rsidRPr="00C27BD1" w:rsidRDefault="00352D41">
      <w:pPr>
        <w:pStyle w:val="Podpunkty"/>
        <w:ind w:left="0"/>
        <w:rPr>
          <w:rFonts w:ascii="Corbel" w:hAnsi="Corbel" w:cs="Corbel"/>
          <w:szCs w:val="22"/>
        </w:rPr>
      </w:pPr>
    </w:p>
    <w:p w:rsidR="00352D41" w:rsidRPr="00C27BD1" w:rsidRDefault="00300E83">
      <w:pPr>
        <w:pStyle w:val="Podpunkty"/>
        <w:ind w:left="284"/>
        <w:rPr>
          <w:rFonts w:ascii="Corbel" w:hAnsi="Corbel" w:cs="Corbel"/>
          <w:szCs w:val="22"/>
        </w:rPr>
      </w:pPr>
      <w:r w:rsidRPr="00C27BD1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352D41" w:rsidRPr="00C27BD1" w:rsidRDefault="00352D41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29"/>
      </w:tblGrid>
      <w:tr w:rsidR="00352D41" w:rsidRPr="00C27BD1" w:rsidTr="00C27BD1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Semestr</w:t>
            </w:r>
          </w:p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352D41" w:rsidRPr="00C27BD1" w:rsidTr="00C27BD1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VI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52D41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 w:rsidP="00C27BD1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2</w:t>
            </w:r>
          </w:p>
        </w:tc>
      </w:tr>
    </w:tbl>
    <w:p w:rsidR="00352D41" w:rsidRPr="00C27BD1" w:rsidRDefault="00352D41">
      <w:pPr>
        <w:pStyle w:val="Podpunkty"/>
        <w:ind w:left="0"/>
        <w:rPr>
          <w:rFonts w:ascii="Corbel" w:hAnsi="Corbel" w:cs="Corbel"/>
          <w:b w:val="0"/>
          <w:szCs w:val="22"/>
        </w:rPr>
      </w:pPr>
    </w:p>
    <w:p w:rsidR="00352D41" w:rsidRPr="00C27BD1" w:rsidRDefault="00300E83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1.2.</w:t>
      </w:r>
      <w:r w:rsidRPr="00C27BD1"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:rsidR="00352D41" w:rsidRPr="00C27BD1" w:rsidRDefault="00300E83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C27BD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C27BD1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352D41" w:rsidRPr="00C27BD1" w:rsidRDefault="00300E83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C27BD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C27BD1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352D41" w:rsidRPr="00C27BD1" w:rsidRDefault="00300E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1.3 </w:t>
      </w:r>
      <w:r w:rsidRPr="00C27BD1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C27BD1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352D41" w:rsidRDefault="00300E83">
      <w:pPr>
        <w:pStyle w:val="Punktygwne"/>
        <w:spacing w:before="0" w:after="0"/>
        <w:rPr>
          <w:rFonts w:ascii="Corbel" w:hAnsi="Corbel" w:cs="Corbel"/>
          <w:smallCaps w:val="0"/>
          <w:color w:val="000000"/>
          <w:sz w:val="22"/>
        </w:rPr>
      </w:pPr>
      <w:r w:rsidRPr="00C27BD1">
        <w:rPr>
          <w:rFonts w:ascii="Corbel" w:hAnsi="Corbel" w:cs="Corbel"/>
          <w:smallCaps w:val="0"/>
          <w:color w:val="000000"/>
          <w:sz w:val="22"/>
        </w:rPr>
        <w:t xml:space="preserve">2.Wymagania wstępne </w:t>
      </w:r>
    </w:p>
    <w:p w:rsidR="00C27BD1" w:rsidRPr="00C27BD1" w:rsidRDefault="00C27BD1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C27BD1">
            <w:pPr>
              <w:pStyle w:val="Punktygwne"/>
              <w:spacing w:before="40" w:after="40"/>
              <w:rPr>
                <w:rFonts w:ascii="Corbel" w:hAnsi="Corbel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B</w:t>
            </w:r>
            <w:r w:rsidR="00300E83"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rak</w:t>
            </w: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352D41" w:rsidRPr="00C27BD1" w:rsidRDefault="00352D41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352D41" w:rsidRPr="00C27BD1" w:rsidRDefault="00300E83">
      <w:pPr>
        <w:pStyle w:val="Punktygwne"/>
        <w:spacing w:before="0" w:after="0"/>
        <w:rPr>
          <w:rFonts w:ascii="Corbel" w:hAnsi="Corbel" w:cs="Corbel"/>
          <w:sz w:val="22"/>
        </w:rPr>
      </w:pPr>
      <w:r w:rsidRPr="00C27BD1">
        <w:rPr>
          <w:rFonts w:ascii="Corbel" w:hAnsi="Corbel" w:cs="Corbel"/>
          <w:sz w:val="22"/>
        </w:rPr>
        <w:lastRenderedPageBreak/>
        <w:t>3. cele, efekty uczenia się , treści Programowe i stosowane metody Dydaktyczne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352D41" w:rsidRPr="00C27BD1" w:rsidRDefault="00300E83">
      <w:pPr>
        <w:pStyle w:val="Podpunkty"/>
        <w:rPr>
          <w:rFonts w:ascii="Corbel" w:hAnsi="Corbel" w:cs="Corbel"/>
          <w:b w:val="0"/>
          <w:i/>
          <w:szCs w:val="22"/>
        </w:rPr>
      </w:pPr>
      <w:r w:rsidRPr="00C27BD1">
        <w:rPr>
          <w:rFonts w:ascii="Corbel" w:hAnsi="Corbel" w:cs="Corbel"/>
          <w:szCs w:val="22"/>
        </w:rPr>
        <w:t>3.1 Cele przedmiotu</w:t>
      </w:r>
    </w:p>
    <w:p w:rsidR="00352D41" w:rsidRPr="00C27BD1" w:rsidRDefault="00352D41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844"/>
        <w:gridCol w:w="8695"/>
      </w:tblGrid>
      <w:tr w:rsidR="00352D41" w:rsidRPr="00C27BD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C27BD1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C27BD1">
              <w:rPr>
                <w:rFonts w:ascii="Corbel" w:hAnsi="Corbel" w:cs="Corbel"/>
                <w:b w:val="0"/>
                <w:i/>
                <w:szCs w:val="22"/>
              </w:rPr>
              <w:t>Celem jest uzyskanie przez studenta wiedzy na temat zagadnień związanych z bezpieczeństwem informacji i ochroną informacji niejawnych.</w:t>
            </w:r>
          </w:p>
        </w:tc>
      </w:tr>
    </w:tbl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352D41" w:rsidRPr="00C27BD1" w:rsidRDefault="00300E83">
      <w:pPr>
        <w:spacing w:after="0" w:line="100" w:lineRule="atLeast"/>
        <w:ind w:left="426"/>
        <w:rPr>
          <w:rFonts w:ascii="Corbel" w:hAnsi="Corbel" w:cs="Corbel"/>
        </w:rPr>
      </w:pPr>
      <w:r w:rsidRPr="00C27BD1">
        <w:rPr>
          <w:rFonts w:ascii="Corbel" w:hAnsi="Corbel" w:cs="Corbel"/>
          <w:b/>
        </w:rPr>
        <w:t>3.2 Efekty uczenia się dla przedmiotu</w:t>
      </w:r>
      <w:r w:rsidRPr="00C27BD1">
        <w:rPr>
          <w:rFonts w:ascii="Corbel" w:hAnsi="Corbel" w:cs="Corbel"/>
        </w:rPr>
        <w:t xml:space="preserve"> </w:t>
      </w:r>
    </w:p>
    <w:p w:rsidR="00352D41" w:rsidRPr="00C27BD1" w:rsidRDefault="00352D41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86"/>
      </w:tblGrid>
      <w:tr w:rsidR="00352D41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smallCaps w:val="0"/>
                <w:sz w:val="22"/>
              </w:rPr>
              <w:t>EK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0C27BD1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352D41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 student definiuje podstawowe pojęcia związane z informacją niejawną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K_W03</w:t>
            </w:r>
          </w:p>
        </w:tc>
      </w:tr>
      <w:tr w:rsidR="00352D41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 wyjaśnia źródła zagrożeń w obszarze informacji chronionej, indywidualizuje zagrożenia podejmując stosowne decyzje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K_W07</w:t>
            </w:r>
          </w:p>
        </w:tc>
      </w:tr>
      <w:tr w:rsidR="00352D41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-  klasyfikuje klauzule tajności oraz zakresy przedmiotowe i podmiotowe związane z ochroną informacji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K_W04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analizuje i interpretuje oraz wyciąga wnioski praktyczne formułując stosowne opinie na temat ochrony informacji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K_U05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- </w:t>
            </w:r>
            <w:r w:rsidRPr="00C27BD1">
              <w:rPr>
                <w:rFonts w:ascii="Corbel" w:hAnsi="Corbel"/>
              </w:rPr>
              <w:t xml:space="preserve">Posiada umiejętność spójnego, logicznego, merytorycznego myślenia i wypowiedzi w mowie i piśmie  m.in. poprzez 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identyfikację miejsca występowania informacji niejawnej w administracji publicznej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K_U08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identyfikuje warunki dostępu do informacji niejawnej w administracji publicznej oraz podmiotach prywatnych współpracujących w sferze bezpieczeństwa państwa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K_U09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analizuje zmiany w ustawodawstwie prawnym związane ze zmianami w systemie bezpieczeństwa państwa i administracji publicznej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K_U10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identyfikuje warunki dostępu do informacji niejawnej oraz przyporządkowuje stosowne klauzule niejawności odpowiednim dokumentom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K_U12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potrafi przygotować projekty ochrony dokumentów niejawnych zgodnych z warunkami normatywnymi z zakresu nauk prawnych i nauk o administracji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K_U13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potrafi merytorycznie uczestniczyć w dyskusji na temat zastosowanych warunków ochrony informacji niejawnych, prawidłowo rozstrzygając zaistniałe wątpliwości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K_U15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dysponuje świadomością na temat konieczności ochrony informacji niejawnej i analizuje możliwości pozyskiwania w tej dziedzinie dodatkowych uprawnień zawodowych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K_U17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przygotowuje rozwiązania służące ochronie informacji i potrafi uzasadnić własne stanowisko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K_K05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projektuje rozwiązania prawne służące ochronie informacji na różnych szczeblach zarządzania w administracji publicznej, uwzględniając aspekty prawne, ekonomiczne i polityczne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K_K06</w:t>
            </w:r>
          </w:p>
        </w:tc>
      </w:tr>
      <w:tr w:rsidR="00352D41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widowControl w:val="0"/>
              <w:spacing w:before="0" w:after="0" w:line="240" w:lineRule="auto"/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  <w:t xml:space="preserve">- kompletuje wiedzę i materiały na temat konieczności ochrony podstawowych dla funkcjonowania państwa oraz innych podmiotów informacji. 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K_K07</w:t>
            </w:r>
          </w:p>
        </w:tc>
      </w:tr>
    </w:tbl>
    <w:p w:rsidR="00352D41" w:rsidRPr="00C27BD1" w:rsidRDefault="00300E83">
      <w:pPr>
        <w:pStyle w:val="Akapitzlist1"/>
        <w:spacing w:line="100" w:lineRule="atLeast"/>
        <w:ind w:left="426"/>
        <w:jc w:val="both"/>
        <w:rPr>
          <w:rFonts w:ascii="Corbel" w:hAnsi="Corbel" w:cs="Corbel"/>
        </w:rPr>
      </w:pPr>
      <w:r w:rsidRPr="00C27BD1">
        <w:rPr>
          <w:rFonts w:ascii="Corbel" w:hAnsi="Corbel" w:cs="Corbel"/>
          <w:b/>
        </w:rPr>
        <w:lastRenderedPageBreak/>
        <w:t xml:space="preserve">3.3 Treści programowe </w:t>
      </w:r>
      <w:r w:rsidRPr="00C27BD1">
        <w:rPr>
          <w:rFonts w:ascii="Corbel" w:hAnsi="Corbel" w:cs="Corbel"/>
        </w:rPr>
        <w:t xml:space="preserve">  </w:t>
      </w:r>
    </w:p>
    <w:p w:rsidR="00352D41" w:rsidRPr="00C27BD1" w:rsidRDefault="00300E83">
      <w:pPr>
        <w:pStyle w:val="Akapitzlist1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</w:rPr>
      </w:pPr>
      <w:r w:rsidRPr="00C27BD1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Treści merytoryczne</w:t>
            </w:r>
          </w:p>
        </w:tc>
      </w:tr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Zagadnienia wstępne: </w:t>
            </w:r>
            <w:proofErr w:type="spellStart"/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dane-informacja-wiedza</w:t>
            </w:r>
            <w:proofErr w:type="spellEnd"/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 – 1 godz. </w:t>
            </w:r>
          </w:p>
        </w:tc>
      </w:tr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Rola informacji w życiu społecznym, teoria i praktyka – 1 godz. </w:t>
            </w:r>
          </w:p>
        </w:tc>
      </w:tr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Informacja prawnie chroniona, zagrożenia dla bezpieczeństwa informacji – 1 godz. 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Aspekty historyczne związane z ochroną informacji– 1 godz. 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Państwo jako podmiot bezpieczeństwa a prawo do informacji – 1 godz. 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Europejskie standardy zarządzaniem bezpieczeństwem informacji: UE, NATO, ISO:27001-  1 godz. 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Podstawowe pojęcia ustawowe dotyczące ochrony informacji niejawnych – 1 godz. 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Klasyfikowanie informacji niejawnych – 1 godz. 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Dostęp do informacji niejawnych</w:t>
            </w:r>
          </w:p>
          <w:p w:rsidR="00352D41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warunki</w:t>
            </w:r>
          </w:p>
          <w:p w:rsidR="00352D41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ankiety bezpieczeństwa</w:t>
            </w:r>
          </w:p>
          <w:p w:rsidR="00352D41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certyfikaty</w:t>
            </w:r>
          </w:p>
          <w:p w:rsidR="00352D41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postępowania sprawdzające</w:t>
            </w:r>
          </w:p>
          <w:p w:rsidR="00352D41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postępowania odwoławcze </w:t>
            </w:r>
          </w:p>
          <w:p w:rsidR="00352D41" w:rsidRPr="00C27BD1" w:rsidRDefault="00300E83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3 godz.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ArialUnicodeMS-WinCharSetFFFF-H" w:hAnsi="Corbel"/>
                <w:color w:val="000000"/>
                <w:kern w:val="1"/>
                <w:lang w:eastAsia="hi-IN" w:bidi="hi-IN"/>
              </w:rPr>
              <w:t>Odpowiedzialność za przestępstwa przeciwko ochronie informacji – 2 godz.</w:t>
            </w:r>
          </w:p>
        </w:tc>
      </w:tr>
      <w:tr w:rsidR="00352D41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ArialUnicodeMS-WinCharSetFFFF-H" w:hAnsi="Corbel"/>
                <w:color w:val="000000"/>
                <w:kern w:val="1"/>
                <w:lang w:eastAsia="hi-IN" w:bidi="hi-IN"/>
              </w:rPr>
              <w:t xml:space="preserve">Łącznie: 15 godz. </w:t>
            </w:r>
          </w:p>
        </w:tc>
      </w:tr>
    </w:tbl>
    <w:p w:rsidR="00352D41" w:rsidRPr="00C27BD1" w:rsidRDefault="00352D41">
      <w:pPr>
        <w:spacing w:after="0" w:line="100" w:lineRule="atLeast"/>
        <w:rPr>
          <w:rFonts w:ascii="Corbel" w:hAnsi="Corbel" w:cs="Corbel"/>
        </w:rPr>
      </w:pPr>
    </w:p>
    <w:p w:rsidR="00352D41" w:rsidRPr="00C27BD1" w:rsidRDefault="00300E83">
      <w:pPr>
        <w:pStyle w:val="Akapitzlist1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</w:rPr>
      </w:pPr>
      <w:r w:rsidRPr="00C27BD1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Treści merytoryczne</w:t>
            </w:r>
          </w:p>
        </w:tc>
      </w:tr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C27BD1">
            <w:pPr>
              <w:widowControl w:val="0"/>
              <w:snapToGrid w:val="0"/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>
              <w:rPr>
                <w:rFonts w:ascii="Corbel" w:eastAsia="Lucida Sans Unicode" w:hAnsi="Corbel"/>
                <w:kern w:val="1"/>
                <w:lang w:eastAsia="hi-IN" w:bidi="hi-IN"/>
              </w:rPr>
              <w:t>-</w:t>
            </w:r>
          </w:p>
        </w:tc>
      </w:tr>
    </w:tbl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352D41" w:rsidRPr="00C27BD1" w:rsidRDefault="00300E83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3.4 Metody dydaktyczne</w:t>
      </w:r>
      <w:r w:rsidRPr="00C27BD1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C27BD1">
        <w:rPr>
          <w:rFonts w:ascii="Corbel" w:hAnsi="Corbel" w:cs="Corbel"/>
          <w:b w:val="0"/>
          <w:smallCaps w:val="0"/>
          <w:sz w:val="22"/>
        </w:rPr>
        <w:t>Np</w:t>
      </w:r>
      <w:r w:rsidRPr="00C27BD1">
        <w:rPr>
          <w:rFonts w:ascii="Corbel" w:hAnsi="Corbel" w:cs="Corbel"/>
          <w:sz w:val="22"/>
        </w:rPr>
        <w:t xml:space="preserve">.: </w:t>
      </w:r>
    </w:p>
    <w:p w:rsidR="00352D41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C27BD1">
        <w:rPr>
          <w:rFonts w:ascii="Corbel" w:hAnsi="Corbel" w:cs="Corbel"/>
          <w:b w:val="0"/>
          <w:i/>
          <w:sz w:val="22"/>
        </w:rPr>
        <w:t xml:space="preserve"> </w:t>
      </w:r>
      <w:r w:rsidRPr="00C27BD1">
        <w:rPr>
          <w:rFonts w:ascii="Corbel" w:hAnsi="Corbel" w:cs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352D41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C27BD1">
        <w:rPr>
          <w:rFonts w:ascii="Corbel" w:hAnsi="Corbel" w:cs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52D41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00E8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b w:val="0"/>
          <w:smallCaps w:val="0"/>
          <w:sz w:val="22"/>
        </w:rPr>
        <w:t>Wykład: wykład informacyjny i wykład konwersatoryjny, dyskusja panelowa.</w:t>
      </w:r>
    </w:p>
    <w:p w:rsidR="00352D41" w:rsidRPr="00C27BD1" w:rsidRDefault="00352D4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352D41" w:rsidRPr="00C27BD1" w:rsidRDefault="00300E8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352D41" w:rsidRPr="00C27BD1" w:rsidRDefault="00352D4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352D41" w:rsidRPr="00C27BD1" w:rsidRDefault="00300E83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4.1 Sposoby weryfikacji efektów uczenia się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38"/>
      </w:tblGrid>
      <w:tr w:rsidR="00352D41" w:rsidRPr="00C27BD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352D41" w:rsidRPr="00C27BD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b w:val="0"/>
                <w:sz w:val="22"/>
              </w:rPr>
              <w:t>ek</w:t>
            </w:r>
            <w:proofErr w:type="spellEnd"/>
            <w:r w:rsidRPr="00C27BD1">
              <w:rPr>
                <w:rFonts w:ascii="Corbel" w:hAnsi="Corbel" w:cs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09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10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lastRenderedPageBreak/>
              <w:t>Ek_ 11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12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352D41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</w:tbl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00E83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4.2 Warunki zaliczenia przedmiotu (kryteria oceniania) </w:t>
      </w:r>
    </w:p>
    <w:p w:rsidR="00352D41" w:rsidRPr="00C27BD1" w:rsidRDefault="00352D41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352D41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52D4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Test z pytaniami otwartymi. Minimalne warunki zaliczenia – 60% zdobytych punktów. Kryteria oceny: kompletność odpowiedzi, użyta terminologia, aktualny stan prawny.</w:t>
            </w:r>
          </w:p>
          <w:p w:rsidR="00352D41" w:rsidRPr="00C27BD1" w:rsidRDefault="00352D4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</w:tbl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00E83">
      <w:pPr>
        <w:pStyle w:val="Bezodstpw1"/>
        <w:ind w:left="284" w:hanging="284"/>
        <w:jc w:val="both"/>
        <w:rPr>
          <w:rFonts w:ascii="Corbel" w:hAnsi="Corbel" w:cs="Corbel"/>
        </w:rPr>
      </w:pPr>
      <w:r w:rsidRPr="00C27BD1">
        <w:rPr>
          <w:rFonts w:ascii="Corbel" w:hAnsi="Corbel" w:cs="Corbel"/>
          <w:b/>
        </w:rPr>
        <w:t xml:space="preserve">5. CAŁKOWITY NAKŁAD PRACY STUDENTA POTRZEBNY DO OSIĄGNIĘCIA ZAŁOŻONYCH EFEKTÓW W GODZINACH ORAZ PUNKTACH ECTS 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901"/>
        <w:gridCol w:w="4638"/>
      </w:tblGrid>
      <w:tr w:rsidR="00352D41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C27BD1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352D41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 xml:space="preserve">Wykład – 15. </w:t>
            </w:r>
            <w:r w:rsidR="00C27BD1">
              <w:rPr>
                <w:rFonts w:ascii="Corbel" w:hAnsi="Corbel" w:cs="Corbel"/>
              </w:rPr>
              <w:t>g</w:t>
            </w:r>
            <w:r w:rsidRPr="00C27BD1">
              <w:rPr>
                <w:rFonts w:ascii="Corbel" w:hAnsi="Corbel" w:cs="Corbel"/>
              </w:rPr>
              <w:t>odz</w:t>
            </w:r>
            <w:r w:rsidR="00C27BD1">
              <w:rPr>
                <w:rFonts w:ascii="Corbel" w:hAnsi="Corbel" w:cs="Corbel"/>
              </w:rPr>
              <w:t xml:space="preserve">. </w:t>
            </w:r>
          </w:p>
        </w:tc>
      </w:tr>
      <w:tr w:rsidR="00352D41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Inne z udziałem nauczyciela akademickiego</w:t>
            </w:r>
          </w:p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Udział w konsultacjach - 10 godz.</w:t>
            </w:r>
          </w:p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Udział w teście – 1 godz.</w:t>
            </w:r>
          </w:p>
        </w:tc>
      </w:tr>
      <w:tr w:rsidR="00352D41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Godziny niekontaktowe – praca własna studenta</w:t>
            </w:r>
          </w:p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 xml:space="preserve">Przygotowanie do zaliczenia – 24 godz. </w:t>
            </w:r>
          </w:p>
          <w:p w:rsidR="00352D41" w:rsidRPr="00C27BD1" w:rsidRDefault="00352D4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</w:p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 xml:space="preserve"> </w:t>
            </w:r>
          </w:p>
        </w:tc>
      </w:tr>
      <w:tr w:rsidR="00352D41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SUMA GODZIN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 xml:space="preserve">50 godz. </w:t>
            </w:r>
          </w:p>
        </w:tc>
      </w:tr>
      <w:tr w:rsidR="00352D41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2</w:t>
            </w:r>
          </w:p>
        </w:tc>
      </w:tr>
    </w:tbl>
    <w:p w:rsidR="00352D41" w:rsidRPr="00C27BD1" w:rsidRDefault="00300E83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00E83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6. PRAKTYKI ZAWODOWE W RAMACH PRZEDMIOTU</w:t>
      </w:r>
    </w:p>
    <w:p w:rsidR="00352D41" w:rsidRPr="00C27BD1" w:rsidRDefault="00352D41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352D41" w:rsidRPr="00C27BD1" w:rsidTr="00C27BD1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C27BD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352D41" w:rsidRPr="00C27BD1" w:rsidTr="00C27BD1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D41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Pr="00C27BD1" w:rsidRDefault="00C27BD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352D41" w:rsidRPr="00C27BD1" w:rsidRDefault="00352D4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00E83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7. LITERATURA </w:t>
      </w:r>
    </w:p>
    <w:p w:rsidR="00352D41" w:rsidRPr="00C27BD1" w:rsidRDefault="00352D41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33"/>
      </w:tblGrid>
      <w:tr w:rsidR="00352D41" w:rsidRPr="00C27BD1" w:rsidTr="00C27BD1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Default="00300E83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C27BD1" w:rsidRPr="00C27BD1" w:rsidRDefault="00C27BD1">
            <w:pPr>
              <w:pStyle w:val="Punktygwne"/>
              <w:spacing w:before="0" w:after="0"/>
              <w:rPr>
                <w:rFonts w:ascii="Corbel" w:hAnsi="Corbel" w:cs="Corbel"/>
                <w:smallCaps w:val="0"/>
                <w:color w:val="000000"/>
                <w:sz w:val="22"/>
              </w:rPr>
            </w:pPr>
          </w:p>
          <w:p w:rsidR="00352D41" w:rsidRPr="00C27BD1" w:rsidRDefault="00300E83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pacing w:val="-15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Ustawa o ochronie informacji niejawnych z 5 sierpnia 2010 r. (</w:t>
            </w:r>
            <w:proofErr w:type="spellStart"/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t.j</w:t>
            </w:r>
            <w:proofErr w:type="spellEnd"/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 Dz. U. Z 2019 r.  poz. 742); Rozporządzenia wykonawcze do wyżej wymienionej ustawy;</w:t>
            </w:r>
          </w:p>
          <w:p w:rsidR="00352D41" w:rsidRPr="00C27BD1" w:rsidRDefault="00300E83">
            <w:pPr>
              <w:pStyle w:val="Nagwek1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 xml:space="preserve">Ochrona danych osobowych i informacji niejawnych z uwzględnieniem ogólnego rozporządzenia unijnego, (red.) Dariusz </w:t>
            </w:r>
            <w:proofErr w:type="spellStart"/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>Wociór</w:t>
            </w:r>
            <w:proofErr w:type="spellEnd"/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 xml:space="preserve">, Warszawa 2016, 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 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Bezpieczeństwo informacji - od teorii do praktyki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, red. M. Miłosz, Warszawa 2005; S. Zalewski,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Dylematy ochrony informacji niejawnych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, Katowice 2009; S. Hoc Stanisław,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Ustawa o ochronie informacji niejawnych, komentarz do ustawy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, Warszawa 2010; I. Stankowska,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Ustawa o ochronie informacji niejawnych, komentarz,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 Warszawa 2011;</w:t>
            </w:r>
          </w:p>
        </w:tc>
      </w:tr>
      <w:tr w:rsidR="00352D41" w:rsidRPr="00C27BD1" w:rsidTr="00C27BD1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D41" w:rsidRDefault="00300E83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smallCaps w:val="0"/>
                <w:sz w:val="22"/>
              </w:rPr>
              <w:t xml:space="preserve">Literatura uzupełniająca: </w:t>
            </w:r>
          </w:p>
          <w:p w:rsidR="00C27BD1" w:rsidRPr="00C27BD1" w:rsidRDefault="00C27BD1">
            <w:pPr>
              <w:pStyle w:val="Punktygwne"/>
              <w:spacing w:before="0" w:after="0"/>
              <w:rPr>
                <w:rFonts w:ascii="Corbel" w:hAnsi="Corbel" w:cs="Corbel"/>
                <w:i/>
                <w:iCs/>
                <w:smallCaps w:val="0"/>
                <w:color w:val="000000"/>
                <w:sz w:val="22"/>
              </w:rPr>
            </w:pPr>
          </w:p>
          <w:p w:rsidR="00352D41" w:rsidRPr="00C27BD1" w:rsidRDefault="00300E83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informacji III Rzeczypospolitej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red. A. Żebrowski, W. Kwiatkowski, Kraków 2000; D. E. </w:t>
            </w:r>
            <w:proofErr w:type="spellStart"/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Denning</w:t>
            </w:r>
            <w:proofErr w:type="spellEnd"/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Wojna informacyjna i bezpieczeństwo informacji,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Warszawa 2002; C, Evans,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Zarządzanie wiedzą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2005;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Zarządzanie wiedzą i informacją w przedsiębiorstwie i jednostce samorządu terytorialnego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red. 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lastRenderedPageBreak/>
              <w:t xml:space="preserve">P. Laskowski, M. Morawski, Wałbrzych 2004; A. Gałach, R. Wójcik,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Zarządzanie bezpieczeństwem informacji w sektorze publicznym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2009; J. Łuczak, M. Tyburski,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Systemowe zarządzanie bezpieczeństwem informacji ISO/IEC 27001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Poznań 2010.</w:t>
            </w:r>
          </w:p>
        </w:tc>
      </w:tr>
    </w:tbl>
    <w:p w:rsidR="00352D41" w:rsidRPr="00C27BD1" w:rsidRDefault="00352D4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352D41" w:rsidRPr="00C27BD1" w:rsidRDefault="00352D4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300E83" w:rsidRPr="00C27BD1" w:rsidRDefault="00300E83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C27BD1">
        <w:rPr>
          <w:rFonts w:ascii="Corbel" w:hAnsi="Corbel" w:cs="Corbel"/>
          <w:b w:val="0"/>
          <w:smallCaps w:val="0"/>
          <w:sz w:val="22"/>
        </w:rPr>
        <w:t>Akceptacja Kierownika Jednostki lub osoby upoważnionej</w:t>
      </w:r>
    </w:p>
    <w:sectPr w:rsidR="00300E83" w:rsidRPr="00C27BD1" w:rsidSect="00C27BD1">
      <w:pgSz w:w="11906" w:h="16838"/>
      <w:pgMar w:top="1134" w:right="1134" w:bottom="851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012" w:rsidRDefault="00602012">
      <w:pPr>
        <w:spacing w:after="0" w:line="240" w:lineRule="auto"/>
      </w:pPr>
      <w:r>
        <w:separator/>
      </w:r>
    </w:p>
  </w:endnote>
  <w:endnote w:type="continuationSeparator" w:id="0">
    <w:p w:rsidR="00602012" w:rsidRDefault="00602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UnicodeMS-WinCharSetFFFF-H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012" w:rsidRDefault="00602012">
      <w:pPr>
        <w:spacing w:after="0" w:line="240" w:lineRule="auto"/>
      </w:pPr>
      <w:r>
        <w:separator/>
      </w:r>
    </w:p>
  </w:footnote>
  <w:footnote w:type="continuationSeparator" w:id="0">
    <w:p w:rsidR="00602012" w:rsidRDefault="00602012">
      <w:pPr>
        <w:spacing w:after="0" w:line="240" w:lineRule="auto"/>
      </w:pPr>
      <w:r>
        <w:continuationSeparator/>
      </w:r>
    </w:p>
  </w:footnote>
  <w:footnote w:id="1">
    <w:p w:rsidR="00352D41" w:rsidRPr="00C27BD1" w:rsidRDefault="00300E83" w:rsidP="00C27BD1">
      <w:pPr>
        <w:rPr>
          <w:sz w:val="18"/>
        </w:rPr>
      </w:pPr>
      <w:r w:rsidRPr="00C27BD1">
        <w:rPr>
          <w:rStyle w:val="Znakiprzypiswdolnych"/>
          <w:rFonts w:ascii="Corbel" w:hAnsi="Corbel"/>
          <w:vertAlign w:val="superscript"/>
        </w:rPr>
        <w:footnoteRef/>
      </w:r>
      <w:r w:rsidR="00C27BD1">
        <w:t xml:space="preserve"> </w:t>
      </w:r>
      <w:r w:rsidRPr="00C27BD1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86E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orbel" w:hAnsi="Corbel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BD1"/>
    <w:rsid w:val="001D6A44"/>
    <w:rsid w:val="00300E83"/>
    <w:rsid w:val="00352D41"/>
    <w:rsid w:val="00602012"/>
    <w:rsid w:val="00C2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1248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cp:lastPrinted>2019-02-06T11:12:00Z</cp:lastPrinted>
  <dcterms:created xsi:type="dcterms:W3CDTF">2021-04-09T12:06:00Z</dcterms:created>
  <dcterms:modified xsi:type="dcterms:W3CDTF">2021-04-26T09:46:00Z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